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96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ŽUPANIJA: SPLITSKO-DALMATINSKA</w:t>
      </w:r>
    </w:p>
    <w:p w:rsidR="000803C0" w:rsidRPr="002710E9" w:rsidRDefault="000B3F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PROGRAM RASPOLAGANJA POLJOPRIVREDNIM ZEMLJIŠTEM U VLASNIŠTVU REPUBLIKE HRVATSKE</w:t>
      </w:r>
    </w:p>
    <w:p w:rsidR="000803C0" w:rsidRPr="002710E9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Pr="002710E9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B3F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 GRAD TRILJ</w:t>
      </w: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03C0" w:rsidRDefault="000803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6037" w:rsidRDefault="00096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6037" w:rsidRDefault="00096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6037" w:rsidRDefault="00096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6037" w:rsidRDefault="00096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6037" w:rsidRDefault="000960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UVOD</w:t>
      </w: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U Ustavu Republike Hrvatske (članak 52.) navodi se da je zemljište dobro od interesa za Republiku Hrvatsku i ima njezinu osobitu zaštitu (NN br. 56/90, 135/97, 8/98, 113/00, 124/00, 28/01, 41/01, 55/01, 76/10, 85/10 i 05/14).</w:t>
      </w:r>
      <w:r w:rsidRPr="002710E9">
        <w:rPr>
          <w:rFonts w:ascii="Calibri" w:eastAsia="Calibri" w:hAnsi="Calibri" w:cs="Times New Roman"/>
          <w:lang w:eastAsia="en-US"/>
        </w:rPr>
        <w:t xml:space="preserve">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Poljoprivrednim zemljištem, u smislu Zakona o poljoprivrednom zemljištu, smatraju se poljoprivredne površine koje su po načinu uporabe u katastru opisane kao: oranice, vrtovi, livade, pašnjaci, voćnjaci, maslinici, vinogradi, ribnjaci, trstici i močvare, kao i drugo zemljište koje se može privesti poljoprivrednoj proizvodnji (NN br. 20/18).</w:t>
      </w:r>
      <w:r w:rsidRPr="002710E9">
        <w:rPr>
          <w:rFonts w:ascii="Calibri" w:eastAsia="Calibri" w:hAnsi="Calibri" w:cs="Times New Roman"/>
          <w:lang w:eastAsia="en-US"/>
        </w:rPr>
        <w:t xml:space="preserve">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Poljoprivrednim zemljištem u vlasništvu Republike Hrvatske raspolaže se prema odredbama Zakona o poljoprivrednom zemljištu na temelju Programa raspolaganja poljoprivrednim zemljištem u vlasništvu države. Cilj donošenja Programa je omogućiti efikasnije raspolaganje i kontrolu korištenja državnog poljoprivrednog zemljišta.</w:t>
      </w:r>
      <w:r w:rsidRPr="002710E9">
        <w:rPr>
          <w:rFonts w:ascii="Calibri" w:eastAsia="Calibri" w:hAnsi="Calibri" w:cs="Times New Roman"/>
          <w:lang w:eastAsia="en-US"/>
        </w:rPr>
        <w:t xml:space="preserve">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Programom se ne mogu umanjivati proizvodno-tehnološke cjeline koje su u funkciji proizvodnje, osim iznimno za dodjelu zamjenskog zemljišta u postupcima povrata oduzete imovine. Proizvodno-tehnološka cjelina označava dio katastarske čestice, jednu katastarsku česticu, skup dijelova katastarskih čestica ili skup katastarskih čestica neposredno povezanih u jednu cjelinu radi racionalnije proizvodnje.</w:t>
      </w: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Sadržaj Programa raspolaganja poljoprivrednim zemljištem u vlasništvu 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epublike Hrvatske za Grad Trilj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obuhvaća: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ukupnu površinu poljoprivrednog zemljišta u vlasništvu države na području 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podatke o dosadašnjem raspolaganju poljoprivrednim zemljištem u vlasništvu države na području 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pregled površina poljoprivrednog zemljišta u vlasništvu države prema oblicima raspolaganja na području 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, i to:</w:t>
      </w:r>
    </w:p>
    <w:p w:rsidR="002710E9" w:rsidRDefault="002710E9" w:rsidP="002710E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površine određene za povrat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710E9" w:rsidRPr="002710E9" w:rsidRDefault="002710E9" w:rsidP="002710E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površine određene za prodaju, jednokratno, maksimalno do 25% ukupne površine poljoprivrednog zemljišta u vlasništvu države,</w:t>
      </w:r>
    </w:p>
    <w:p w:rsidR="002710E9" w:rsidRPr="002710E9" w:rsidRDefault="002710E9" w:rsidP="002710E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površine određene za zakup,</w:t>
      </w:r>
    </w:p>
    <w:p w:rsidR="002710E9" w:rsidRDefault="002710E9" w:rsidP="002710E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površine određene za zakup zajedničkih pašnjaka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710E9" w:rsidRPr="002710E9" w:rsidRDefault="002710E9" w:rsidP="002710E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povr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šine određene za ostale namjene-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jednokratno, maksimalno do 5%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maksimalnu površinu koja se može dati u zakup,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napomenu/obrazloženje (određene specif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ičnosti za područje Grada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području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Grada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ne određuju se površine za zakup ribnjaka.</w:t>
      </w: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Program raspolaganja poljoprivrednim zemljištem u vlasništvu 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epublike Hrvatske za Grad Trilj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izrađen je na temelju dokumentacijskih podloga određenih Pravilnikom o dokumentaciji potrebnoj za donošenje Programa raspolaganja</w:t>
      </w:r>
      <w:r w:rsidRPr="002710E9">
        <w:rPr>
          <w:rFonts w:ascii="Calibri" w:eastAsia="Calibri" w:hAnsi="Calibri" w:cs="Times New Roman"/>
          <w:lang w:eastAsia="en-US"/>
        </w:rPr>
        <w:t xml:space="preserve">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poljoprivrednim zemljištem u vlasništvu Republike Hrvatske (NN br. 27/18).</w:t>
      </w: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Za izradu Programa korištena je sljedeća dokumentacija: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katastarski planovi katastarskih općina na području 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(KO</w:t>
      </w:r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Bisko</w:t>
      </w:r>
      <w:proofErr w:type="spellEnd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</w:t>
      </w:r>
      <w:proofErr w:type="spellStart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Budimiri</w:t>
      </w:r>
      <w:proofErr w:type="spellEnd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</w:t>
      </w:r>
      <w:proofErr w:type="spellStart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Čaporice</w:t>
      </w:r>
      <w:proofErr w:type="spellEnd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Grab, KO Kamensko, KO Košute, </w:t>
      </w:r>
      <w:r w:rsidR="00AD55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 Ruda, </w:t>
      </w:r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 </w:t>
      </w:r>
      <w:proofErr w:type="spellStart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Strizirep</w:t>
      </w:r>
      <w:proofErr w:type="spellEnd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</w:t>
      </w:r>
      <w:proofErr w:type="spellStart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Tijarica</w:t>
      </w:r>
      <w:proofErr w:type="spellEnd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D55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 </w:t>
      </w:r>
      <w:proofErr w:type="spellStart"/>
      <w:r w:rsidR="00AD55F0">
        <w:rPr>
          <w:rFonts w:ascii="Times New Roman" w:eastAsia="Calibri" w:hAnsi="Times New Roman" w:cs="Times New Roman"/>
          <w:sz w:val="24"/>
          <w:szCs w:val="24"/>
          <w:lang w:eastAsia="en-US"/>
        </w:rPr>
        <w:t>Turjaci</w:t>
      </w:r>
      <w:proofErr w:type="spellEnd"/>
      <w:r w:rsidR="00AD55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Udovičići, </w:t>
      </w:r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 Ugljane, KO Vedrine, KO </w:t>
      </w:r>
      <w:proofErr w:type="spellStart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Velić</w:t>
      </w:r>
      <w:proofErr w:type="spellEnd"/>
      <w:r w:rsidR="00E063E0">
        <w:rPr>
          <w:rFonts w:ascii="Times New Roman" w:eastAsia="Calibri" w:hAnsi="Times New Roman" w:cs="Times New Roman"/>
          <w:sz w:val="24"/>
          <w:szCs w:val="24"/>
          <w:lang w:eastAsia="en-US"/>
        </w:rPr>
        <w:t>, KO Vojnić Sinjski, KO Voštane, KO Vrpolje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),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zemljišnoknjižni izvadci i posjedovni listovi iz e-baze Preglednika katastarskih podataka DGU i ZIS aplikacije zemljišno knjižnog sustava Ministarstva pravosuđa (osim iznimno u slučajevima kada ne postoji e-zemljišno knjižni izvadak),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uvjerenje Upravnog odjela za </w:t>
      </w:r>
      <w:r w:rsidR="00EF363C"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graditeljstvo i prostorno uređenje Splitsko-dalmatinske županije</w:t>
      </w:r>
      <w:r w:rsidR="00EF36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Ispostave Sinj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da se prema važećem prostornom planu uređenja, predmetne čestice nalaze izvan granica građevinskog područja s oznakom ukoliko se radi o osobito vrijednom (P1) i vrijednom (P2) poljoprivrednom zemljištu,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očitovanje Ureda državne uprave u Splitsko-dalmatinskoj županiji, Službe z</w:t>
      </w:r>
      <w:r w:rsidR="00EF363C">
        <w:rPr>
          <w:rFonts w:ascii="Times New Roman" w:eastAsia="Calibri" w:hAnsi="Times New Roman" w:cs="Times New Roman"/>
          <w:sz w:val="24"/>
          <w:szCs w:val="24"/>
          <w:lang w:eastAsia="en-US"/>
        </w:rPr>
        <w:t>a imovinsko-pravne poslove, Ispostave Sinj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</w:t>
      </w:r>
      <w:r w:rsidRPr="002710E9">
        <w:rPr>
          <w:rFonts w:ascii="Calibri" w:eastAsia="Calibri" w:hAnsi="Calibri" w:cs="Times New Roman"/>
          <w:lang w:eastAsia="en-US"/>
        </w:rPr>
        <w:t xml:space="preserve">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površini koju je potrebno osigurati kao nadoknadu za oduzetu imovinu (s obzirom na podnesene, a neriješene zahtjeve),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uvjerenje Hrvatskih šuma d.o.o., Uprave šuma </w:t>
      </w:r>
      <w:r w:rsidR="009749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podružnice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Split da predmetne čestice nisu obuhvaćene šumskogospodarskom osnovom,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očitovanje Hrvatskih voda jesu li i koje predmetne čestice javno vodno dobro,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očitovanje Upravnog odjela za graditeljstvo i prostorno uređenje Splitsko-dalmatinske županije jesu li i koje predmetne čestice u obuhvatu postojećeg i/ili planiranog sustava javnog navodnjavanja,</w:t>
      </w:r>
    </w:p>
    <w:p w:rsidR="002710E9" w:rsidRPr="002710E9" w:rsidRDefault="002710E9" w:rsidP="002710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očitovanje Hrvatskog centra za razminiranje o katastarskim česticama i površinama poljoprivrednog zemljišta u vlasništvu države koje su minirane, a na</w:t>
      </w:r>
      <w:r w:rsidR="00974969">
        <w:rPr>
          <w:rFonts w:ascii="Times New Roman" w:eastAsia="Calibri" w:hAnsi="Times New Roman" w:cs="Times New Roman"/>
          <w:sz w:val="24"/>
          <w:szCs w:val="24"/>
          <w:lang w:eastAsia="en-US"/>
        </w:rPr>
        <w:t>laze sa na području Grada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koje su na popisu miniranih i minski sumnjivih područja.</w:t>
      </w:r>
    </w:p>
    <w:p w:rsidR="002710E9" w:rsidRPr="00970C13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C13">
        <w:rPr>
          <w:rFonts w:ascii="Times New Roman" w:eastAsia="Calibri" w:hAnsi="Times New Roman" w:cs="Times New Roman"/>
          <w:sz w:val="24"/>
          <w:szCs w:val="24"/>
          <w:lang w:eastAsia="en-US"/>
        </w:rPr>
        <w:t>Sredstva za provedbu Programa planiraju se u proračunu Grada Trilja u razdjelu</w:t>
      </w:r>
      <w:r w:rsidR="00973A98" w:rsidRPr="00970C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Upravnog odjela</w:t>
      </w:r>
      <w:r w:rsidR="00970C13" w:rsidRPr="00970C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prostorno uređenje, imovinsko-pravne poslove, komunalni sustav i zaštitu okoliša</w:t>
      </w:r>
      <w:r w:rsidRPr="00970C1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710E9" w:rsidRPr="002710E9" w:rsidRDefault="002710E9" w:rsidP="002710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Program raspolaganja poljoprivrednim zemljištem u vlasništvu 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epublike Hrvatske za Grad Trilj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nosi Gradsko vijeće Grada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prije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dlog gradonačelnika Grada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uz prethodno mišljenje Splitsko-dalmatinske županije. Ovaj Program stupa na snagu nakon 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dobivanja suglasnosti Ministarstva poljoprivrede i bit će objavljen 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Službenom glasniku Grada Trilja</w:t>
      </w:r>
      <w:r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710E9" w:rsidRDefault="002710E9" w:rsidP="002710E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AC6BDF" w:rsidRPr="00722DBE" w:rsidRDefault="00AC6BDF" w:rsidP="00AC6BDF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:rsidR="00AC6BDF" w:rsidRPr="00722DBE" w:rsidRDefault="00AC6BDF" w:rsidP="00AC6B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BDF" w:rsidRPr="00F12238" w:rsidRDefault="00AC6BDF" w:rsidP="00AC6BDF">
      <w:pPr>
        <w:pStyle w:val="Odlomakpopisa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38">
        <w:rPr>
          <w:rFonts w:ascii="Times New Roman" w:hAnsi="Times New Roman" w:cs="Times New Roman"/>
          <w:b/>
          <w:sz w:val="24"/>
          <w:szCs w:val="24"/>
        </w:rPr>
        <w:t>UKUPNA POVRŠINA POLJOPRIVREDNOG ZEMLJIŠTA U VLASNIŠTVU DRŽAVE</w:t>
      </w:r>
    </w:p>
    <w:p w:rsidR="00AC6BDF" w:rsidRDefault="00AC6BDF" w:rsidP="00AC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BDF" w:rsidRDefault="00AC6BDF" w:rsidP="00AC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238">
        <w:rPr>
          <w:rFonts w:ascii="Times New Roman" w:hAnsi="Times New Roman" w:cs="Times New Roman"/>
          <w:sz w:val="24"/>
          <w:szCs w:val="24"/>
        </w:rPr>
        <w:t>Ukupna površina poljoprivrednog zemljišta u</w:t>
      </w:r>
      <w:r>
        <w:rPr>
          <w:rFonts w:ascii="Times New Roman" w:hAnsi="Times New Roman" w:cs="Times New Roman"/>
          <w:sz w:val="24"/>
          <w:szCs w:val="24"/>
        </w:rPr>
        <w:t xml:space="preserve"> vlasništvu države na području G</w:t>
      </w:r>
      <w:r w:rsidRPr="00F12238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Trilja</w:t>
      </w:r>
      <w:r w:rsidRPr="00F12238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eastAsia="Times New Roman" w:hAnsi="Times New Roman" w:cs="Times New Roman"/>
          <w:sz w:val="24"/>
        </w:rPr>
        <w:t>346,8023</w:t>
      </w:r>
      <w:r w:rsidRPr="00F12238">
        <w:rPr>
          <w:rFonts w:ascii="Times New Roman" w:hAnsi="Times New Roman" w:cs="Times New Roman"/>
          <w:sz w:val="24"/>
          <w:szCs w:val="24"/>
        </w:rPr>
        <w:t xml:space="preserve"> ha.</w:t>
      </w:r>
      <w:r>
        <w:rPr>
          <w:rFonts w:ascii="Times New Roman" w:hAnsi="Times New Roman" w:cs="Times New Roman"/>
          <w:sz w:val="24"/>
          <w:szCs w:val="24"/>
        </w:rPr>
        <w:t xml:space="preserve"> Na području Grada Trilja ukupna površina</w:t>
      </w:r>
      <w:r w:rsidRPr="00F12238">
        <w:rPr>
          <w:rFonts w:ascii="Times New Roman" w:hAnsi="Times New Roman" w:cs="Times New Roman"/>
          <w:sz w:val="24"/>
          <w:szCs w:val="24"/>
        </w:rPr>
        <w:t xml:space="preserve"> poljoprivrednog zemljišta u vlasništvu države nalazi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F12238">
        <w:rPr>
          <w:rFonts w:ascii="Times New Roman" w:hAnsi="Times New Roman" w:cs="Times New Roman"/>
          <w:sz w:val="24"/>
          <w:szCs w:val="24"/>
        </w:rPr>
        <w:t>na</w:t>
      </w:r>
      <w:r w:rsidR="00EB5019">
        <w:rPr>
          <w:rFonts w:ascii="Times New Roman" w:hAnsi="Times New Roman" w:cs="Times New Roman"/>
          <w:sz w:val="24"/>
          <w:szCs w:val="24"/>
        </w:rPr>
        <w:t xml:space="preserve"> području četrnaest katastarskih općina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019" w:rsidRPr="002710E9">
        <w:rPr>
          <w:rFonts w:ascii="Times New Roman" w:eastAsia="Calibri" w:hAnsi="Times New Roman" w:cs="Times New Roman"/>
          <w:sz w:val="24"/>
          <w:szCs w:val="24"/>
          <w:lang w:eastAsia="en-US"/>
        </w:rPr>
        <w:t>KO</w:t>
      </w:r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Bisko</w:t>
      </w:r>
      <w:proofErr w:type="spellEnd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</w:t>
      </w:r>
      <w:proofErr w:type="spellStart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Budimiri</w:t>
      </w:r>
      <w:proofErr w:type="spellEnd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</w:t>
      </w:r>
      <w:proofErr w:type="spellStart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Čaporice</w:t>
      </w:r>
      <w:proofErr w:type="spellEnd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Grab, KO Kamensko, KO Košute, KO </w:t>
      </w:r>
      <w:proofErr w:type="spellStart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Strizirep</w:t>
      </w:r>
      <w:proofErr w:type="spellEnd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</w:t>
      </w:r>
      <w:proofErr w:type="spellStart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Tijarica</w:t>
      </w:r>
      <w:proofErr w:type="spellEnd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KO Ugljane, KO Vedrine, KO </w:t>
      </w:r>
      <w:proofErr w:type="spellStart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Velić</w:t>
      </w:r>
      <w:proofErr w:type="spellEnd"/>
      <w:r w:rsidR="00EB5019">
        <w:rPr>
          <w:rFonts w:ascii="Times New Roman" w:eastAsia="Calibri" w:hAnsi="Times New Roman" w:cs="Times New Roman"/>
          <w:sz w:val="24"/>
          <w:szCs w:val="24"/>
          <w:lang w:eastAsia="en-US"/>
        </w:rPr>
        <w:t>, KO Vojnić Sinjski, KO Voštane i KO Vrpolje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7B7">
        <w:rPr>
          <w:rFonts w:ascii="Times New Roman" w:hAnsi="Times New Roman" w:cs="Times New Roman"/>
          <w:sz w:val="24"/>
          <w:szCs w:val="24"/>
        </w:rPr>
        <w:t xml:space="preserve">Od utvrđene ukupne površine poljoprivrednog zemljišta u vlasništvu </w:t>
      </w:r>
      <w:r w:rsidR="008602D3" w:rsidRPr="006467B7">
        <w:rPr>
          <w:rFonts w:ascii="Times New Roman" w:hAnsi="Times New Roman" w:cs="Times New Roman"/>
          <w:sz w:val="24"/>
          <w:szCs w:val="24"/>
        </w:rPr>
        <w:t xml:space="preserve">države na području Grada Trilja </w:t>
      </w:r>
      <w:r w:rsidR="006467B7" w:rsidRPr="006467B7">
        <w:rPr>
          <w:rFonts w:ascii="Times New Roman" w:hAnsi="Times New Roman" w:cs="Times New Roman"/>
          <w:sz w:val="24"/>
          <w:szCs w:val="24"/>
        </w:rPr>
        <w:t>61,36</w:t>
      </w:r>
      <w:r w:rsidRPr="006467B7">
        <w:rPr>
          <w:rFonts w:ascii="Times New Roman" w:hAnsi="Times New Roman" w:cs="Times New Roman"/>
          <w:sz w:val="24"/>
          <w:szCs w:val="24"/>
        </w:rPr>
        <w:t xml:space="preserve">% </w:t>
      </w:r>
      <w:r w:rsidR="006467B7" w:rsidRPr="006467B7">
        <w:rPr>
          <w:rFonts w:ascii="Times New Roman" w:hAnsi="Times New Roman" w:cs="Times New Roman"/>
          <w:sz w:val="24"/>
          <w:szCs w:val="24"/>
        </w:rPr>
        <w:t xml:space="preserve">(212,8050 ha) </w:t>
      </w:r>
      <w:r w:rsidRPr="006467B7">
        <w:rPr>
          <w:rFonts w:ascii="Times New Roman" w:hAnsi="Times New Roman" w:cs="Times New Roman"/>
          <w:sz w:val="24"/>
          <w:szCs w:val="24"/>
        </w:rPr>
        <w:t xml:space="preserve">čine </w:t>
      </w:r>
      <w:r w:rsidR="00EC67CB">
        <w:rPr>
          <w:rFonts w:ascii="Times New Roman" w:hAnsi="Times New Roman" w:cs="Times New Roman"/>
          <w:sz w:val="24"/>
          <w:szCs w:val="24"/>
        </w:rPr>
        <w:t>katastarske kulture pašnjaci</w:t>
      </w:r>
      <w:r w:rsidR="006467B7" w:rsidRPr="006467B7">
        <w:rPr>
          <w:rFonts w:ascii="Times New Roman" w:hAnsi="Times New Roman" w:cs="Times New Roman"/>
          <w:sz w:val="24"/>
          <w:szCs w:val="24"/>
        </w:rPr>
        <w:t>, 25,41% (88,1263 ha) voćnjaci i 13,23% (45,8710 ha) oranice</w:t>
      </w:r>
      <w:r w:rsidRPr="006467B7">
        <w:rPr>
          <w:rFonts w:ascii="Times New Roman" w:hAnsi="Times New Roman" w:cs="Times New Roman"/>
          <w:sz w:val="24"/>
          <w:szCs w:val="24"/>
        </w:rPr>
        <w:t>.</w:t>
      </w:r>
    </w:p>
    <w:p w:rsidR="00AC6BDF" w:rsidRPr="0059288D" w:rsidRDefault="00AC6BDF" w:rsidP="00AC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BDF" w:rsidRPr="00920914" w:rsidRDefault="00AC6BDF" w:rsidP="00AC6BDF">
      <w:pPr>
        <w:pStyle w:val="Odlomakpopisa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20914">
        <w:rPr>
          <w:rFonts w:ascii="Times New Roman" w:hAnsi="Times New Roman"/>
          <w:b/>
          <w:sz w:val="24"/>
          <w:szCs w:val="24"/>
        </w:rPr>
        <w:t>PODACI O DOSADAŠNJEM RASPOLAGANJU</w:t>
      </w:r>
      <w:r w:rsidRPr="009209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POLJOPRIVREDNOIM ZEMLJIŠTEM</w:t>
      </w:r>
      <w:r w:rsidRPr="00F12238">
        <w:rPr>
          <w:rFonts w:ascii="Times New Roman" w:hAnsi="Times New Roman" w:cs="Times New Roman"/>
          <w:b/>
          <w:sz w:val="24"/>
          <w:szCs w:val="24"/>
        </w:rPr>
        <w:t xml:space="preserve"> U VLASNIŠTVU DRŽAVE</w:t>
      </w:r>
    </w:p>
    <w:p w:rsidR="00AC6BDF" w:rsidRDefault="00AC6BDF" w:rsidP="00AC6B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6BDF" w:rsidRPr="001A6284" w:rsidRDefault="00AC6BDF" w:rsidP="00AC6B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6284">
        <w:rPr>
          <w:rFonts w:ascii="Times New Roman" w:hAnsi="Times New Roman"/>
          <w:sz w:val="24"/>
          <w:szCs w:val="24"/>
        </w:rPr>
        <w:t xml:space="preserve">Oblik dosadašnjeg raspolaganja poljoprivrednim zemljištem </w:t>
      </w:r>
      <w:r w:rsidRPr="001A6284">
        <w:rPr>
          <w:rFonts w:ascii="Times New Roman" w:hAnsi="Times New Roman" w:cs="Times New Roman"/>
          <w:sz w:val="24"/>
          <w:szCs w:val="24"/>
        </w:rPr>
        <w:t>u</w:t>
      </w:r>
      <w:r w:rsidR="001A6284" w:rsidRPr="001A6284">
        <w:rPr>
          <w:rFonts w:ascii="Times New Roman" w:hAnsi="Times New Roman" w:cs="Times New Roman"/>
          <w:sz w:val="24"/>
          <w:szCs w:val="24"/>
        </w:rPr>
        <w:t xml:space="preserve"> vlasništvu države na području Grada Trilja</w:t>
      </w:r>
      <w:r w:rsidRPr="001A6284">
        <w:rPr>
          <w:rFonts w:ascii="Times New Roman" w:hAnsi="Times New Roman" w:cs="Times New Roman"/>
          <w:sz w:val="24"/>
          <w:szCs w:val="24"/>
        </w:rPr>
        <w:t xml:space="preserve"> </w:t>
      </w:r>
      <w:r w:rsidR="001A6284" w:rsidRPr="001A6284">
        <w:rPr>
          <w:rFonts w:ascii="Times New Roman" w:hAnsi="Times New Roman"/>
          <w:sz w:val="24"/>
          <w:szCs w:val="24"/>
        </w:rPr>
        <w:t>su dugogodišnji zakup i</w:t>
      </w:r>
      <w:r w:rsidRPr="001A6284">
        <w:rPr>
          <w:rFonts w:ascii="Times New Roman" w:hAnsi="Times New Roman"/>
          <w:sz w:val="24"/>
          <w:szCs w:val="24"/>
        </w:rPr>
        <w:t xml:space="preserve"> osnivanje prava služnosti radi podizanja višegodišnjih nasada.</w:t>
      </w:r>
      <w:r w:rsidR="001A6284">
        <w:rPr>
          <w:rFonts w:ascii="Times New Roman" w:hAnsi="Times New Roman"/>
          <w:sz w:val="24"/>
          <w:szCs w:val="24"/>
        </w:rPr>
        <w:t xml:space="preserve"> </w:t>
      </w:r>
      <w:r w:rsidR="00C13EA8">
        <w:rPr>
          <w:rFonts w:ascii="Times New Roman" w:hAnsi="Times New Roman"/>
          <w:sz w:val="24"/>
          <w:szCs w:val="24"/>
        </w:rPr>
        <w:t>Na području KO Košute</w:t>
      </w:r>
      <w:r w:rsidR="00C13EA8" w:rsidRPr="001A6284">
        <w:rPr>
          <w:rFonts w:ascii="Times New Roman" w:hAnsi="Times New Roman"/>
          <w:sz w:val="24"/>
          <w:szCs w:val="24"/>
        </w:rPr>
        <w:t>,</w:t>
      </w:r>
      <w:r w:rsidR="00C13EA8">
        <w:rPr>
          <w:rFonts w:ascii="Times New Roman" w:hAnsi="Times New Roman"/>
          <w:sz w:val="24"/>
          <w:szCs w:val="24"/>
        </w:rPr>
        <w:t xml:space="preserve"> katastarska čestica br. 3660/2 ukupne površine od 0,3780 ha nalazi se u</w:t>
      </w:r>
      <w:r w:rsidR="00EC67CB" w:rsidRPr="00EC67CB">
        <w:rPr>
          <w:rFonts w:ascii="Times New Roman" w:hAnsi="Times New Roman"/>
          <w:sz w:val="24"/>
          <w:szCs w:val="24"/>
        </w:rPr>
        <w:t xml:space="preserve"> </w:t>
      </w:r>
      <w:r w:rsidR="00EC67CB">
        <w:rPr>
          <w:rFonts w:ascii="Times New Roman" w:hAnsi="Times New Roman"/>
          <w:sz w:val="24"/>
          <w:szCs w:val="24"/>
        </w:rPr>
        <w:t>dugogodišnjem</w:t>
      </w:r>
      <w:r w:rsidR="00C13EA8">
        <w:rPr>
          <w:rFonts w:ascii="Times New Roman" w:hAnsi="Times New Roman"/>
          <w:sz w:val="24"/>
          <w:szCs w:val="24"/>
        </w:rPr>
        <w:t xml:space="preserve"> zakupu do 14. ožujka 2061. godine</w:t>
      </w:r>
      <w:r w:rsidR="00C13EA8" w:rsidRPr="001A6284">
        <w:rPr>
          <w:rFonts w:ascii="Times New Roman" w:hAnsi="Times New Roman"/>
          <w:sz w:val="24"/>
          <w:szCs w:val="24"/>
        </w:rPr>
        <w:t>.</w:t>
      </w:r>
      <w:r w:rsidR="00C13EA8">
        <w:rPr>
          <w:rFonts w:ascii="Times New Roman" w:hAnsi="Times New Roman"/>
          <w:sz w:val="24"/>
          <w:szCs w:val="24"/>
        </w:rPr>
        <w:t xml:space="preserve"> </w:t>
      </w:r>
      <w:r w:rsidR="001A6284">
        <w:rPr>
          <w:rFonts w:ascii="Times New Roman" w:hAnsi="Times New Roman"/>
          <w:sz w:val="24"/>
          <w:szCs w:val="24"/>
        </w:rPr>
        <w:t>Na području KO Grab</w:t>
      </w:r>
      <w:r w:rsidRPr="001A6284">
        <w:rPr>
          <w:rFonts w:ascii="Times New Roman" w:hAnsi="Times New Roman"/>
          <w:sz w:val="24"/>
          <w:szCs w:val="24"/>
        </w:rPr>
        <w:t>,</w:t>
      </w:r>
      <w:r w:rsidR="001A6284">
        <w:rPr>
          <w:rFonts w:ascii="Times New Roman" w:hAnsi="Times New Roman"/>
          <w:sz w:val="24"/>
          <w:szCs w:val="24"/>
        </w:rPr>
        <w:t xml:space="preserve"> katastarske čestice br. 2650, 2651 i 2652 ukupne površine od 36,2910 ha nalaze se u dugogodišnjem zakupu do 14. ožujka 2061. godine</w:t>
      </w:r>
      <w:r w:rsidRPr="001A6284">
        <w:rPr>
          <w:rFonts w:ascii="Times New Roman" w:hAnsi="Times New Roman"/>
          <w:sz w:val="24"/>
          <w:szCs w:val="24"/>
        </w:rPr>
        <w:t>.</w:t>
      </w:r>
      <w:r w:rsidR="004A04FF" w:rsidRPr="004A04FF">
        <w:rPr>
          <w:rFonts w:ascii="Times New Roman" w:hAnsi="Times New Roman"/>
          <w:sz w:val="24"/>
          <w:szCs w:val="24"/>
        </w:rPr>
        <w:t xml:space="preserve"> </w:t>
      </w:r>
      <w:r w:rsidR="004A04FF">
        <w:rPr>
          <w:rFonts w:ascii="Times New Roman" w:hAnsi="Times New Roman"/>
          <w:sz w:val="24"/>
          <w:szCs w:val="24"/>
        </w:rPr>
        <w:t xml:space="preserve">Na području KO </w:t>
      </w:r>
      <w:proofErr w:type="spellStart"/>
      <w:r w:rsidR="004A04FF">
        <w:rPr>
          <w:rFonts w:ascii="Times New Roman" w:hAnsi="Times New Roman"/>
          <w:sz w:val="24"/>
          <w:szCs w:val="24"/>
        </w:rPr>
        <w:t>Čaporice</w:t>
      </w:r>
      <w:proofErr w:type="spellEnd"/>
      <w:r w:rsidR="004A04FF">
        <w:rPr>
          <w:rFonts w:ascii="Times New Roman" w:hAnsi="Times New Roman"/>
          <w:sz w:val="24"/>
          <w:szCs w:val="24"/>
        </w:rPr>
        <w:t xml:space="preserve"> osnovano je pravo služnosti radi podizanja višegodišnjih nasada na dijelu katastarske čestice br. 540/1, površine 3,5188 ha, do 07. kolovoza 2064. godine. </w:t>
      </w:r>
      <w:r w:rsidR="002C0909">
        <w:rPr>
          <w:rFonts w:ascii="Times New Roman" w:hAnsi="Times New Roman"/>
          <w:sz w:val="24"/>
          <w:szCs w:val="24"/>
        </w:rPr>
        <w:t xml:space="preserve">Na području KO Kamensko osnovano je pravo služnosti radi </w:t>
      </w:r>
      <w:r w:rsidR="002C0909" w:rsidRPr="002C0909">
        <w:rPr>
          <w:rFonts w:ascii="Times New Roman" w:hAnsi="Times New Roman"/>
          <w:sz w:val="24"/>
          <w:szCs w:val="24"/>
        </w:rPr>
        <w:t xml:space="preserve">izgradnje </w:t>
      </w:r>
      <w:proofErr w:type="spellStart"/>
      <w:r w:rsidR="002C0909" w:rsidRPr="002C0909">
        <w:rPr>
          <w:rFonts w:ascii="Times New Roman" w:hAnsi="Times New Roman"/>
          <w:sz w:val="24"/>
          <w:szCs w:val="24"/>
        </w:rPr>
        <w:t>vjetroelektrana</w:t>
      </w:r>
      <w:proofErr w:type="spellEnd"/>
      <w:r w:rsidR="002C0909" w:rsidRPr="002C0909">
        <w:rPr>
          <w:rFonts w:ascii="Times New Roman" w:hAnsi="Times New Roman"/>
          <w:sz w:val="24"/>
          <w:szCs w:val="24"/>
        </w:rPr>
        <w:t xml:space="preserve"> i visokonaponskog voda</w:t>
      </w:r>
      <w:r w:rsidR="002C0909">
        <w:rPr>
          <w:rFonts w:ascii="Times New Roman" w:hAnsi="Times New Roman"/>
          <w:sz w:val="24"/>
          <w:szCs w:val="24"/>
        </w:rPr>
        <w:t xml:space="preserve"> na dijelu katastarske čestice br. 791/1, površine 0,6468 ha. </w:t>
      </w:r>
      <w:r w:rsidR="00593098">
        <w:rPr>
          <w:rFonts w:ascii="Times New Roman" w:hAnsi="Times New Roman"/>
          <w:sz w:val="24"/>
          <w:szCs w:val="24"/>
        </w:rPr>
        <w:t>Na području KO Ugljane osnovano je pravo služnosti radi podizanja višegodišnjih nasada na katastarskoj čestici br. 3894/32, površine 45 ha, do 22. srpnja 2065. godine.</w:t>
      </w:r>
      <w:r w:rsidR="00593098" w:rsidRPr="00593098">
        <w:rPr>
          <w:rFonts w:ascii="Times New Roman" w:hAnsi="Times New Roman"/>
          <w:sz w:val="24"/>
          <w:szCs w:val="24"/>
        </w:rPr>
        <w:t xml:space="preserve"> </w:t>
      </w:r>
      <w:r w:rsidR="00593098">
        <w:rPr>
          <w:rFonts w:ascii="Times New Roman" w:hAnsi="Times New Roman"/>
          <w:sz w:val="24"/>
          <w:szCs w:val="24"/>
        </w:rPr>
        <w:t>Na području KO Vojnić Sinjski osnovano je pravo služnosti radi podizanja višegodišnjih nasada na katastarskoj čestici br. 1764/36, površine 6,5243 ha, do 30. kolovoza 2050. godine.</w:t>
      </w:r>
    </w:p>
    <w:p w:rsidR="00AC6BDF" w:rsidRPr="00920914" w:rsidRDefault="00AC6BDF" w:rsidP="00AC6B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C6BDF" w:rsidRPr="00722DBE" w:rsidRDefault="00AC6BDF" w:rsidP="00AC6BD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2DBE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722DBE">
        <w:rPr>
          <w:rFonts w:ascii="Times New Roman" w:hAnsi="Times New Roman" w:cs="Times New Roman"/>
          <w:b/>
          <w:szCs w:val="24"/>
        </w:rPr>
        <w:t xml:space="preserve">dosadašnjeg </w:t>
      </w:r>
      <w:r w:rsidRPr="00722DBE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2102"/>
        <w:gridCol w:w="2250"/>
      </w:tblGrid>
      <w:tr w:rsidR="00AC6BDF" w:rsidRPr="00722DBE" w:rsidTr="001F16DD">
        <w:tc>
          <w:tcPr>
            <w:tcW w:w="817" w:type="dxa"/>
            <w:vAlign w:val="center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 xml:space="preserve">OBLIK RASPOLAGANJA </w:t>
            </w:r>
          </w:p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722DBE">
              <w:rPr>
                <w:rFonts w:ascii="Times New Roman" w:hAnsi="Times New Roman"/>
                <w:b/>
              </w:rPr>
              <w:t>skraćeni naziv iz ugovora)</w:t>
            </w:r>
          </w:p>
        </w:tc>
        <w:tc>
          <w:tcPr>
            <w:tcW w:w="2102" w:type="dxa"/>
            <w:vAlign w:val="center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2250" w:type="dxa"/>
            <w:vAlign w:val="center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AC6BDF" w:rsidRPr="00722DBE" w:rsidTr="006E6862">
        <w:tc>
          <w:tcPr>
            <w:tcW w:w="817" w:type="dxa"/>
          </w:tcPr>
          <w:p w:rsidR="00AC6BDF" w:rsidRPr="00722DBE" w:rsidRDefault="00AC6BDF" w:rsidP="00AC6B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AC6BDF" w:rsidRPr="00722DBE" w:rsidRDefault="00AC6BDF" w:rsidP="00AC6B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6BDF" w:rsidRPr="00DF1CBB" w:rsidRDefault="00DF1CBB" w:rsidP="00AC6B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6BDF" w:rsidRDefault="00DF1CBB" w:rsidP="00AC6B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C6BDF" w:rsidRPr="00722DBE" w:rsidTr="006E6862">
        <w:tc>
          <w:tcPr>
            <w:tcW w:w="817" w:type="dxa"/>
          </w:tcPr>
          <w:p w:rsidR="00AC6BDF" w:rsidRPr="00722DBE" w:rsidRDefault="00AC6BDF" w:rsidP="00AC6B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AC6BDF" w:rsidRPr="00722DBE" w:rsidRDefault="00AC6BDF" w:rsidP="00AC6B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6BDF" w:rsidRPr="00DF1CBB" w:rsidRDefault="00AC6BDF" w:rsidP="00AC6BDF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6BDF" w:rsidRDefault="00DF1CBB" w:rsidP="00AC6BD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36,669</w:t>
            </w:r>
            <w:r w:rsidR="00AC6BDF">
              <w:rPr>
                <w:rFonts w:ascii="Times New Roman" w:eastAsia="Times New Roman" w:hAnsi="Times New Roman" w:cs="Times New Roman"/>
                <w:b/>
                <w:sz w:val="24"/>
              </w:rPr>
              <w:t>0 ha</w:t>
            </w:r>
          </w:p>
        </w:tc>
      </w:tr>
      <w:tr w:rsidR="00AC6BDF" w:rsidRPr="00722DBE" w:rsidTr="001F16DD">
        <w:tc>
          <w:tcPr>
            <w:tcW w:w="817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AC6BDF" w:rsidRPr="00722DBE" w:rsidRDefault="00AC6BDF" w:rsidP="001F1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2102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C6BDF" w:rsidRPr="00722DBE" w:rsidTr="001F16DD">
        <w:tc>
          <w:tcPr>
            <w:tcW w:w="817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AC6BDF" w:rsidRPr="00722DBE" w:rsidRDefault="00AC6BDF" w:rsidP="001F1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2102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C6BDF" w:rsidRPr="00722DBE" w:rsidTr="001F16DD">
        <w:tc>
          <w:tcPr>
            <w:tcW w:w="817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AC6BDF" w:rsidRPr="00722DBE" w:rsidRDefault="00AC6BDF" w:rsidP="001F1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2102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AC6BDF" w:rsidRPr="00722DBE" w:rsidRDefault="00AC6BDF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F1CBB" w:rsidRPr="00722DBE" w:rsidTr="001F16DD">
        <w:tc>
          <w:tcPr>
            <w:tcW w:w="817" w:type="dxa"/>
          </w:tcPr>
          <w:p w:rsidR="00DF1CBB" w:rsidRDefault="00DF1CBB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DF1CBB" w:rsidRPr="00722DBE" w:rsidRDefault="00DF1CBB" w:rsidP="001F1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osnivanje prava služnosti</w:t>
            </w:r>
          </w:p>
        </w:tc>
        <w:tc>
          <w:tcPr>
            <w:tcW w:w="2102" w:type="dxa"/>
          </w:tcPr>
          <w:p w:rsidR="00DF1CBB" w:rsidRDefault="00DF1CBB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F1CBB" w:rsidRDefault="002C0909" w:rsidP="001F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55,6899</w:t>
            </w:r>
            <w:r w:rsidR="00C3764A">
              <w:rPr>
                <w:rFonts w:ascii="Times New Roman" w:hAnsi="Times New Roman"/>
                <w:b/>
                <w:sz w:val="24"/>
                <w:szCs w:val="24"/>
              </w:rPr>
              <w:t xml:space="preserve"> ha</w:t>
            </w:r>
          </w:p>
        </w:tc>
      </w:tr>
    </w:tbl>
    <w:p w:rsidR="00AC6BDF" w:rsidRDefault="00AC6BDF" w:rsidP="00AC6B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>*napomena: ovdje upisati samo površine</w:t>
      </w:r>
      <w:r>
        <w:rPr>
          <w:rFonts w:ascii="Times New Roman" w:hAnsi="Times New Roman"/>
          <w:sz w:val="24"/>
          <w:szCs w:val="24"/>
        </w:rPr>
        <w:t xml:space="preserve"> koje su prodane, a neotplaćene</w:t>
      </w:r>
    </w:p>
    <w:p w:rsidR="00AC6BDF" w:rsidRDefault="00AC6BDF" w:rsidP="00AC6B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502" w:rsidRDefault="00BC3502" w:rsidP="00AC6B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502" w:rsidRPr="008C13C7" w:rsidRDefault="00BC3502" w:rsidP="00AC6B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6BDF" w:rsidRPr="004372C9" w:rsidRDefault="00AC6BDF" w:rsidP="00AC6BDF">
      <w:pPr>
        <w:pStyle w:val="Odlomakpopisa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4372C9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SUMARNI PREGLED POVRŠINA POLJOPRIVREDNOG ZEMLJIŠTA U VLASNIŠTVU DRŽAVE PREMA OBLICIMA RASPOLAGANJA</w:t>
      </w:r>
    </w:p>
    <w:p w:rsidR="00AC6BDF" w:rsidRDefault="00AC6BDF" w:rsidP="00AC6BDF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D41A7D" w:rsidRDefault="00D41A7D" w:rsidP="00342E2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U KO Grab katastarsku česticu br. 431/1 ukupne površine 1,0941 ha </w:t>
      </w:r>
      <w:r w:rsidRPr="001A5892">
        <w:rPr>
          <w:rFonts w:ascii="Times New Roman" w:hAnsi="Times New Roman" w:cs="Times New Roman"/>
          <w:sz w:val="24"/>
          <w:szCs w:val="24"/>
          <w:lang w:val="hr-BA"/>
        </w:rPr>
        <w:t>Grad Trilj određuje za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povrat </w:t>
      </w:r>
      <w:r w:rsidR="00342E2E">
        <w:rPr>
          <w:rFonts w:ascii="Times New Roman" w:hAnsi="Times New Roman" w:cs="Times New Roman"/>
          <w:sz w:val="24"/>
          <w:szCs w:val="24"/>
          <w:lang w:val="hr-BA"/>
        </w:rPr>
        <w:t xml:space="preserve">temeljem obavijesti </w:t>
      </w:r>
      <w:r w:rsidR="00342E2E" w:rsidRPr="002710E9">
        <w:rPr>
          <w:rFonts w:ascii="Times New Roman" w:eastAsia="Calibri" w:hAnsi="Times New Roman" w:cs="Times New Roman"/>
          <w:sz w:val="24"/>
          <w:szCs w:val="24"/>
        </w:rPr>
        <w:t>Ureda državne uprave u Splitsko-dalmatinskoj županiji, Službe z</w:t>
      </w:r>
      <w:r w:rsidR="00342E2E">
        <w:rPr>
          <w:rFonts w:ascii="Times New Roman" w:eastAsia="Calibri" w:hAnsi="Times New Roman" w:cs="Times New Roman"/>
          <w:sz w:val="24"/>
          <w:szCs w:val="24"/>
        </w:rPr>
        <w:t>a imovinsko-pravne poslove, Ispostave Sinj da je za potrebe postupaka naknade za imovinu oduzetu za vrijeme jugoslavenske komunističke vladavine koji se vode po zahtjevima prijašnjih vlasnika potrebno rezervirati zamjensko poljoprivredno zemljište u vlasništvu RH u površini od 1 ha za povrat prijašnjim vlasnicima na području Grada Trilja.</w:t>
      </w:r>
    </w:p>
    <w:p w:rsidR="00AC6BDF" w:rsidRPr="00AC6BDF" w:rsidRDefault="001A5892" w:rsidP="00AC6BDF">
      <w:pPr>
        <w:pStyle w:val="Odlomakpopisa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  <w:r w:rsidRPr="001A5892">
        <w:rPr>
          <w:rFonts w:ascii="Times New Roman" w:hAnsi="Times New Roman" w:cs="Times New Roman"/>
          <w:sz w:val="24"/>
          <w:szCs w:val="24"/>
          <w:lang w:val="hr-BA"/>
        </w:rPr>
        <w:t>Grad Trilj određuje za prodaju 5,9635 ha ili 1,72</w:t>
      </w:r>
      <w:r w:rsidR="00AC6BDF" w:rsidRPr="001A5892">
        <w:rPr>
          <w:rFonts w:ascii="Times New Roman" w:hAnsi="Times New Roman" w:cs="Times New Roman"/>
          <w:sz w:val="24"/>
          <w:szCs w:val="24"/>
          <w:lang w:val="hr-BA"/>
        </w:rPr>
        <w:t>% poljoprivrednog zemljišta</w:t>
      </w:r>
      <w:r w:rsidR="00AC6BDF" w:rsidRPr="001C293A">
        <w:rPr>
          <w:rFonts w:ascii="Times New Roman" w:hAnsi="Times New Roman" w:cs="Times New Roman"/>
          <w:sz w:val="24"/>
          <w:szCs w:val="24"/>
          <w:lang w:val="hr-BA"/>
        </w:rPr>
        <w:t>. Prema podacima katastra</w:t>
      </w:r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 većim dijelom</w:t>
      </w:r>
      <w:r w:rsidR="00AC6BDF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 radi se o manjim katastarskim česticama, u vlasništvu Republike Hrvatske na području k</w:t>
      </w:r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atastarskih općina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Budimiri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, Košute,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Tijarica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, Ugljane, Vedrine,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Velić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 i Vrpolje</w:t>
      </w:r>
      <w:r w:rsidR="00AC6BDF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 koje su predmet ovog Programa.</w:t>
      </w:r>
    </w:p>
    <w:p w:rsidR="00AC6BDF" w:rsidRPr="001C293A" w:rsidRDefault="00AC6BDF" w:rsidP="00AC6B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Ukupna površina poljoprivrednog zemljišta </w:t>
      </w:r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predviđena za zakup iznosi 211,0148 ha i nalazi se u katastarskim općinama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Budimiri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Čaporice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, Grab, Košute,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Tijarica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, Ugljane, Vedrine, </w:t>
      </w:r>
      <w:proofErr w:type="spellStart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>Velić</w:t>
      </w:r>
      <w:proofErr w:type="spellEnd"/>
      <w:r w:rsidR="001C293A"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 i Vojnić Sinjski,</w:t>
      </w:r>
      <w:r w:rsidRPr="001C293A">
        <w:rPr>
          <w:rFonts w:ascii="Times New Roman" w:hAnsi="Times New Roman" w:cs="Times New Roman"/>
          <w:sz w:val="24"/>
          <w:szCs w:val="24"/>
          <w:lang w:val="hr-BA"/>
        </w:rPr>
        <w:t xml:space="preserve"> od čega je na</w:t>
      </w:r>
      <w:r w:rsidR="001C293A" w:rsidRPr="001C293A">
        <w:rPr>
          <w:rFonts w:ascii="Times New Roman" w:hAnsi="Times New Roman"/>
          <w:sz w:val="24"/>
          <w:szCs w:val="24"/>
        </w:rPr>
        <w:t xml:space="preserve"> površini od 55,6899</w:t>
      </w:r>
      <w:r w:rsidRPr="001C293A">
        <w:rPr>
          <w:rFonts w:ascii="Times New Roman" w:hAnsi="Times New Roman"/>
          <w:sz w:val="24"/>
          <w:szCs w:val="24"/>
        </w:rPr>
        <w:t xml:space="preserve"> ha osnovano pravo služnosti radi podizanja višegodišnjih nasada</w:t>
      </w:r>
      <w:r w:rsidR="001C293A" w:rsidRPr="001C293A">
        <w:rPr>
          <w:rFonts w:ascii="Times New Roman" w:hAnsi="Times New Roman"/>
          <w:sz w:val="24"/>
          <w:szCs w:val="24"/>
        </w:rPr>
        <w:t xml:space="preserve"> i izgradnje </w:t>
      </w:r>
      <w:proofErr w:type="spellStart"/>
      <w:r w:rsidR="001C293A" w:rsidRPr="001C293A">
        <w:rPr>
          <w:rFonts w:ascii="Times New Roman" w:hAnsi="Times New Roman"/>
          <w:sz w:val="24"/>
          <w:szCs w:val="24"/>
        </w:rPr>
        <w:t>vjetroelektrana</w:t>
      </w:r>
      <w:proofErr w:type="spellEnd"/>
      <w:r w:rsidR="001C293A" w:rsidRPr="001C293A">
        <w:rPr>
          <w:rFonts w:ascii="Times New Roman" w:hAnsi="Times New Roman"/>
          <w:sz w:val="24"/>
          <w:szCs w:val="24"/>
        </w:rPr>
        <w:t xml:space="preserve"> i visokonaponskog voda, dok je površina od 36,6690 ha u dugogodišnjem zakupu</w:t>
      </w:r>
      <w:r w:rsidRPr="001C293A">
        <w:rPr>
          <w:rFonts w:ascii="Times New Roman" w:hAnsi="Times New Roman"/>
          <w:sz w:val="24"/>
          <w:szCs w:val="24"/>
        </w:rPr>
        <w:t>.</w:t>
      </w:r>
    </w:p>
    <w:p w:rsidR="00AC6BDF" w:rsidRPr="00173EE6" w:rsidRDefault="00AC6BDF" w:rsidP="00AC6BDF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173EE6">
        <w:rPr>
          <w:rFonts w:ascii="Times New Roman" w:hAnsi="Times New Roman" w:cs="Times New Roman"/>
          <w:sz w:val="24"/>
          <w:szCs w:val="24"/>
          <w:lang w:val="hr-BA"/>
        </w:rPr>
        <w:t xml:space="preserve">Ukupna površina poljoprivrednog zemljišta predviđena za zakup </w:t>
      </w:r>
      <w:r w:rsidR="001C293A" w:rsidRPr="00173EE6">
        <w:rPr>
          <w:rFonts w:ascii="Times New Roman" w:hAnsi="Times New Roman" w:cs="Times New Roman"/>
          <w:sz w:val="24"/>
          <w:szCs w:val="24"/>
          <w:lang w:val="hr-BA"/>
        </w:rPr>
        <w:t>zajedničkih pašnjaka iznosi 128,3299</w:t>
      </w:r>
      <w:r w:rsidRPr="00173EE6">
        <w:rPr>
          <w:rFonts w:ascii="Times New Roman" w:hAnsi="Times New Roman" w:cs="Times New Roman"/>
          <w:sz w:val="24"/>
          <w:szCs w:val="24"/>
          <w:lang w:val="hr-BA"/>
        </w:rPr>
        <w:t xml:space="preserve"> ha, a nalazi se na </w:t>
      </w:r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 xml:space="preserve">području katastarskih općina </w:t>
      </w:r>
      <w:proofErr w:type="spellStart"/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>Bisko</w:t>
      </w:r>
      <w:proofErr w:type="spellEnd"/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>Budimiri</w:t>
      </w:r>
      <w:proofErr w:type="spellEnd"/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 xml:space="preserve">, Grab, Kamensko, Košute, </w:t>
      </w:r>
      <w:proofErr w:type="spellStart"/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>Strizirep</w:t>
      </w:r>
      <w:proofErr w:type="spellEnd"/>
      <w:r w:rsidR="00173EE6" w:rsidRPr="00173EE6">
        <w:rPr>
          <w:rFonts w:ascii="Times New Roman" w:hAnsi="Times New Roman" w:cs="Times New Roman"/>
          <w:sz w:val="24"/>
          <w:szCs w:val="24"/>
          <w:lang w:val="hr-BA"/>
        </w:rPr>
        <w:t>, Ugljane, Vojnić Sinjski i Voštane</w:t>
      </w:r>
      <w:r w:rsidRPr="00173EE6">
        <w:rPr>
          <w:rFonts w:ascii="Times New Roman" w:hAnsi="Times New Roman" w:cs="Times New Roman"/>
          <w:sz w:val="24"/>
          <w:szCs w:val="24"/>
          <w:lang w:val="hr-BA"/>
        </w:rPr>
        <w:t>. Ova površina je predviđena za zakup zajedničkih pašnjaka zbog agroekoloških uvjeta na predmetnim česticama.</w:t>
      </w:r>
    </w:p>
    <w:p w:rsidR="00AC6BDF" w:rsidRDefault="00AC6BDF" w:rsidP="00AC6BD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AC6BDF" w:rsidRPr="00FB52EB" w:rsidRDefault="00AC6BDF" w:rsidP="00AC6BDF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B52E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9180" w:type="dxa"/>
        <w:tblInd w:w="-5" w:type="dxa"/>
        <w:tblLook w:val="04A0" w:firstRow="1" w:lastRow="0" w:firstColumn="1" w:lastColumn="0" w:noHBand="0" w:noVBand="1"/>
      </w:tblPr>
      <w:tblGrid>
        <w:gridCol w:w="2988"/>
        <w:gridCol w:w="1407"/>
        <w:gridCol w:w="4785"/>
      </w:tblGrid>
      <w:tr w:rsidR="00AC6BDF" w:rsidTr="001F16DD">
        <w:tc>
          <w:tcPr>
            <w:tcW w:w="2988" w:type="dxa"/>
            <w:vAlign w:val="center"/>
          </w:tcPr>
          <w:p w:rsidR="00AC6BDF" w:rsidRPr="00376BCD" w:rsidRDefault="00AC6BDF" w:rsidP="001F16D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AC6BDF" w:rsidRDefault="00AC6BDF" w:rsidP="001F16D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AC6BDF" w:rsidRPr="00376BCD" w:rsidRDefault="00AC6BDF" w:rsidP="001F16D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4785" w:type="dxa"/>
            <w:vAlign w:val="center"/>
          </w:tcPr>
          <w:p w:rsidR="00AC6BDF" w:rsidRDefault="00AC6BDF" w:rsidP="001F16D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AC6BDF" w:rsidRPr="00376BCD" w:rsidRDefault="00AC6BDF" w:rsidP="001F16D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AC6BDF" w:rsidTr="00AC6BDF">
        <w:tc>
          <w:tcPr>
            <w:tcW w:w="2988" w:type="dxa"/>
            <w:vAlign w:val="center"/>
          </w:tcPr>
          <w:p w:rsidR="00AC6BDF" w:rsidRPr="00F016EB" w:rsidRDefault="00AC6BDF" w:rsidP="00AC6BDF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6BDF" w:rsidRPr="00AC6BDF" w:rsidRDefault="00AC6BDF" w:rsidP="00AC6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1,0941</w:t>
            </w:r>
          </w:p>
        </w:tc>
        <w:tc>
          <w:tcPr>
            <w:tcW w:w="4785" w:type="dxa"/>
            <w:vAlign w:val="center"/>
          </w:tcPr>
          <w:p w:rsidR="00AC6BDF" w:rsidRPr="004776F9" w:rsidRDefault="00AC6BDF" w:rsidP="00AC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AC6BDF" w:rsidTr="00AC6BDF">
        <w:tc>
          <w:tcPr>
            <w:tcW w:w="2988" w:type="dxa"/>
            <w:vAlign w:val="center"/>
          </w:tcPr>
          <w:p w:rsidR="00AC6BDF" w:rsidRDefault="00AC6BDF" w:rsidP="00AC6BDF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prodaju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BDF" w:rsidRDefault="00AC6BDF" w:rsidP="00AC6BDF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>- jednokratno, maksimalno</w:t>
            </w:r>
          </w:p>
          <w:p w:rsidR="00AC6BDF" w:rsidRPr="00F016EB" w:rsidRDefault="00AC6BDF" w:rsidP="00AC6BDF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6BDF" w:rsidRPr="00AC6BDF" w:rsidRDefault="001A5892" w:rsidP="00AC6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5,9635</w:t>
            </w:r>
          </w:p>
        </w:tc>
        <w:tc>
          <w:tcPr>
            <w:tcW w:w="4785" w:type="dxa"/>
            <w:vAlign w:val="center"/>
          </w:tcPr>
          <w:p w:rsidR="00AC6BDF" w:rsidRPr="004776F9" w:rsidRDefault="00AC6BDF" w:rsidP="00AC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AC6BDF" w:rsidTr="00AC6BDF">
        <w:trPr>
          <w:trHeight w:val="636"/>
        </w:trPr>
        <w:tc>
          <w:tcPr>
            <w:tcW w:w="2988" w:type="dxa"/>
            <w:vAlign w:val="center"/>
          </w:tcPr>
          <w:p w:rsidR="00AC6BDF" w:rsidRPr="00F016EB" w:rsidRDefault="00AC6BDF" w:rsidP="00AC6BDF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6BDF" w:rsidRPr="00033BB6" w:rsidRDefault="001E5209" w:rsidP="001E5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211,0148</w:t>
            </w:r>
          </w:p>
        </w:tc>
        <w:tc>
          <w:tcPr>
            <w:tcW w:w="4785" w:type="dxa"/>
            <w:vAlign w:val="center"/>
          </w:tcPr>
          <w:p w:rsidR="00AC6BDF" w:rsidRPr="004776F9" w:rsidRDefault="00AC6BDF" w:rsidP="00AC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AC6BDF" w:rsidTr="00AC6BDF">
        <w:tc>
          <w:tcPr>
            <w:tcW w:w="2988" w:type="dxa"/>
            <w:vAlign w:val="center"/>
          </w:tcPr>
          <w:p w:rsidR="00AC6BDF" w:rsidRPr="00F016EB" w:rsidRDefault="00AC6BDF" w:rsidP="00AC6BDF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6BDF" w:rsidRPr="00AC6BDF" w:rsidRDefault="00AC6BDF" w:rsidP="00AC6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  <w:r w:rsidR="00033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785" w:type="dxa"/>
            <w:vAlign w:val="center"/>
          </w:tcPr>
          <w:p w:rsidR="00AC6BDF" w:rsidRPr="004776F9" w:rsidRDefault="00AC6BDF" w:rsidP="00AC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AC6BDF" w:rsidTr="00AC6BDF">
        <w:tc>
          <w:tcPr>
            <w:tcW w:w="2988" w:type="dxa"/>
            <w:vAlign w:val="center"/>
          </w:tcPr>
          <w:p w:rsidR="00AC6BDF" w:rsidRPr="00F016EB" w:rsidRDefault="00AC6BDF" w:rsidP="00AC6BDF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6BDF" w:rsidRPr="009B7D77" w:rsidRDefault="009B7D77" w:rsidP="00AC6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128,3299</w:t>
            </w:r>
          </w:p>
        </w:tc>
        <w:tc>
          <w:tcPr>
            <w:tcW w:w="4785" w:type="dxa"/>
            <w:vAlign w:val="center"/>
          </w:tcPr>
          <w:p w:rsidR="00AC6BDF" w:rsidRPr="004776F9" w:rsidRDefault="00AC6BDF" w:rsidP="00AC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AC6BDF" w:rsidTr="00AC6BDF">
        <w:tc>
          <w:tcPr>
            <w:tcW w:w="2988" w:type="dxa"/>
            <w:vAlign w:val="center"/>
          </w:tcPr>
          <w:p w:rsidR="00AC6BDF" w:rsidRPr="00A23073" w:rsidRDefault="00AC6BDF" w:rsidP="00AC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AC6BDF" w:rsidRDefault="00AC6BDF" w:rsidP="00AC6BDF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AC6BDF" w:rsidRPr="00F016EB" w:rsidRDefault="00AC6BDF" w:rsidP="00AC6BDF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6BDF" w:rsidRPr="00AC6BDF" w:rsidRDefault="00AC6BDF" w:rsidP="00AC6B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0,40</w:t>
            </w:r>
            <w:r w:rsidR="00033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785" w:type="dxa"/>
            <w:vAlign w:val="center"/>
          </w:tcPr>
          <w:p w:rsidR="00AC6BDF" w:rsidRPr="004776F9" w:rsidRDefault="00AC6BDF" w:rsidP="00AC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:rsidR="00AC6BDF" w:rsidRDefault="00AC6BDF" w:rsidP="00AC6BDF">
      <w:pPr>
        <w:spacing w:after="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AC6BDF" w:rsidRDefault="00AC6BDF" w:rsidP="00AC6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674A9F">
        <w:rPr>
          <w:rFonts w:ascii="Times New Roman" w:hAnsi="Times New Roman" w:cs="Times New Roman"/>
          <w:b/>
          <w:sz w:val="24"/>
          <w:szCs w:val="24"/>
          <w:lang w:val="hr-BA"/>
        </w:rPr>
        <w:t>4.</w:t>
      </w:r>
      <w:r w:rsidRPr="00674A9F">
        <w:rPr>
          <w:rFonts w:ascii="Times New Roman" w:hAnsi="Times New Roman" w:cs="Times New Roman"/>
          <w:b/>
          <w:sz w:val="24"/>
          <w:szCs w:val="24"/>
          <w:lang w:val="hr-BA"/>
        </w:rPr>
        <w:tab/>
        <w:t>MAKSIMALNA POVRŠINA ZA ZAKUP</w:t>
      </w:r>
    </w:p>
    <w:p w:rsidR="00AC6BDF" w:rsidRDefault="00AC6BDF" w:rsidP="00AC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BDF" w:rsidRPr="00010FE7" w:rsidRDefault="00AC6BDF" w:rsidP="00AC6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FE7">
        <w:rPr>
          <w:rFonts w:ascii="Times New Roman" w:hAnsi="Times New Roman" w:cs="Times New Roman"/>
          <w:sz w:val="24"/>
          <w:szCs w:val="24"/>
        </w:rPr>
        <w:t>Maksimalna površina poljoprivrednog zemljišta u vlasništvu države koja se može dati u zakup pojedinoj fizičkoj ili pravnoj o</w:t>
      </w:r>
      <w:r>
        <w:rPr>
          <w:rFonts w:ascii="Times New Roman" w:hAnsi="Times New Roman" w:cs="Times New Roman"/>
          <w:sz w:val="24"/>
          <w:szCs w:val="24"/>
        </w:rPr>
        <w:t xml:space="preserve">sobi utvrđuje se u površini od </w:t>
      </w:r>
      <w:r w:rsidRPr="002C0909">
        <w:rPr>
          <w:rFonts w:ascii="Times New Roman" w:hAnsi="Times New Roman" w:cs="Times New Roman"/>
          <w:sz w:val="24"/>
          <w:szCs w:val="24"/>
        </w:rPr>
        <w:t>4</w:t>
      </w:r>
      <w:r w:rsidR="002C0909" w:rsidRPr="002C0909">
        <w:rPr>
          <w:rFonts w:ascii="Times New Roman" w:hAnsi="Times New Roman" w:cs="Times New Roman"/>
          <w:sz w:val="24"/>
          <w:szCs w:val="24"/>
        </w:rPr>
        <w:t>5</w:t>
      </w:r>
      <w:r w:rsidRPr="002C0909">
        <w:rPr>
          <w:rFonts w:ascii="Times New Roman" w:hAnsi="Times New Roman" w:cs="Times New Roman"/>
          <w:sz w:val="24"/>
          <w:szCs w:val="24"/>
        </w:rPr>
        <w:t>,00</w:t>
      </w:r>
      <w:r w:rsidRPr="00010FE7">
        <w:rPr>
          <w:rFonts w:ascii="Times New Roman" w:hAnsi="Times New Roman" w:cs="Times New Roman"/>
          <w:sz w:val="24"/>
          <w:szCs w:val="24"/>
        </w:rPr>
        <w:t xml:space="preserve"> hektara.</w:t>
      </w:r>
      <w:r>
        <w:rPr>
          <w:rFonts w:ascii="Times New Roman" w:hAnsi="Times New Roman" w:cs="Times New Roman"/>
          <w:sz w:val="24"/>
          <w:szCs w:val="24"/>
        </w:rPr>
        <w:t xml:space="preserve"> Maksimalna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površina je utvrđena temeljem dosadašnjeg oblika raspolaganja poljoprivrednim zemljištem u vlasništvu države i u skladu sa Zakonom o poljoprivrednom zemljištu (NN br. 20/18) prema kojem se Programom </w:t>
      </w:r>
      <w:r w:rsidRPr="00CD54FD">
        <w:rPr>
          <w:rFonts w:ascii="Times New Roman" w:hAnsi="Times New Roman" w:cs="Times New Roman"/>
          <w:sz w:val="24"/>
          <w:szCs w:val="24"/>
        </w:rPr>
        <w:t xml:space="preserve">ne mogu umanjivati proizvodno-tehnološke cjeline </w:t>
      </w:r>
      <w:r>
        <w:rPr>
          <w:rFonts w:ascii="Times New Roman" w:hAnsi="Times New Roman" w:cs="Times New Roman"/>
          <w:sz w:val="24"/>
          <w:szCs w:val="24"/>
        </w:rPr>
        <w:t>koje su u funkciji proizvodnje.</w:t>
      </w:r>
    </w:p>
    <w:p w:rsidR="00AC6BDF" w:rsidRDefault="00AC6BDF" w:rsidP="00AC6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6BDF" w:rsidRDefault="00AC6BDF" w:rsidP="00AC6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ab/>
      </w:r>
      <w:r w:rsidRPr="00674A9F">
        <w:rPr>
          <w:rFonts w:ascii="Times New Roman" w:hAnsi="Times New Roman" w:cs="Times New Roman"/>
          <w:b/>
          <w:sz w:val="24"/>
          <w:szCs w:val="24"/>
          <w:lang w:val="hr-BA"/>
        </w:rPr>
        <w:t>NAPOMENA/OBRAZLOŽENJE (određene specifičnosti za područje jedinice lokalne samouprave)</w:t>
      </w:r>
    </w:p>
    <w:p w:rsidR="00AC6BDF" w:rsidRPr="00895831" w:rsidRDefault="00AC6BDF" w:rsidP="00AC6BDF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C6BDF" w:rsidTr="001F16DD">
        <w:trPr>
          <w:trHeight w:val="4315"/>
        </w:trPr>
        <w:tc>
          <w:tcPr>
            <w:tcW w:w="9214" w:type="dxa"/>
          </w:tcPr>
          <w:p w:rsidR="00AC6BDF" w:rsidRDefault="00A5557F" w:rsidP="00AC7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području Grada Trilja, u KO Grab</w:t>
            </w:r>
            <w:r w:rsidRPr="00A5557F">
              <w:rPr>
                <w:rFonts w:ascii="Times New Roman" w:hAnsi="Times New Roman" w:cs="Times New Roman"/>
                <w:sz w:val="24"/>
                <w:szCs w:val="24"/>
              </w:rPr>
              <w:t xml:space="preserve"> sve čestice poljoprivrednog zemljišta koje su obuhvaćene Programom nalaze se u području ekološke mreže Natura 2000. </w:t>
            </w:r>
            <w:r w:rsidR="00AC7E1D">
              <w:rPr>
                <w:rFonts w:ascii="Times New Roman" w:hAnsi="Times New Roman" w:cs="Times New Roman"/>
                <w:sz w:val="24"/>
                <w:szCs w:val="24"/>
              </w:rPr>
              <w:t xml:space="preserve">U KO Košute čestice br. 1748, 3190/1, 3191/5, 3279/3, 3403/3, 3471/3, 3472/2, 3512, 3522/2 </w:t>
            </w:r>
            <w:r w:rsidR="00AC7E1D" w:rsidRPr="00A5557F">
              <w:rPr>
                <w:rFonts w:ascii="Times New Roman" w:hAnsi="Times New Roman" w:cs="Times New Roman"/>
                <w:sz w:val="24"/>
                <w:szCs w:val="24"/>
              </w:rPr>
              <w:t>koje su obuhvaćene Programom nalaze se u području ekološke mreže Natura 2000.</w:t>
            </w:r>
            <w:r w:rsidR="00AC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162C3">
              <w:rPr>
                <w:rFonts w:ascii="Times New Roman" w:hAnsi="Times New Roman" w:cs="Times New Roman"/>
                <w:sz w:val="24"/>
                <w:szCs w:val="24"/>
              </w:rPr>
              <w:t>U KO Vedrine čestica br. 452 koja je obuhvaćena</w:t>
            </w:r>
            <w:r w:rsidR="00D162C3" w:rsidRPr="00D162C3">
              <w:rPr>
                <w:rFonts w:ascii="Times New Roman" w:hAnsi="Times New Roman" w:cs="Times New Roman"/>
                <w:sz w:val="24"/>
                <w:szCs w:val="24"/>
              </w:rPr>
              <w:t xml:space="preserve"> Programom nalaz</w:t>
            </w:r>
            <w:r w:rsidR="00D162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62C3" w:rsidRPr="00D162C3">
              <w:rPr>
                <w:rFonts w:ascii="Times New Roman" w:hAnsi="Times New Roman" w:cs="Times New Roman"/>
                <w:sz w:val="24"/>
                <w:szCs w:val="24"/>
              </w:rPr>
              <w:t xml:space="preserve"> se u području ekološke mreže Natura 2000.</w:t>
            </w:r>
            <w:r w:rsidR="00D1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7F">
              <w:rPr>
                <w:rFonts w:ascii="Times New Roman" w:hAnsi="Times New Roman" w:cs="Times New Roman"/>
                <w:sz w:val="24"/>
                <w:szCs w:val="24"/>
              </w:rPr>
              <w:t>Sukladno Zakonu o poljoprivrednom zemljištu (NN br. 20/18) za predmetne čestice obvezna je provedba postupka ocjene prihvatljivosti programa za ekološku mrežu, a prema posebnom propisu iz područja zaštite prirode.</w:t>
            </w:r>
          </w:p>
        </w:tc>
      </w:tr>
    </w:tbl>
    <w:p w:rsidR="00AC6BDF" w:rsidRDefault="00AC6BD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AC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690"/>
    <w:multiLevelType w:val="multilevel"/>
    <w:tmpl w:val="9E9EA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84562"/>
    <w:multiLevelType w:val="multilevel"/>
    <w:tmpl w:val="26980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81DED"/>
    <w:multiLevelType w:val="hybridMultilevel"/>
    <w:tmpl w:val="38A46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2B13"/>
    <w:multiLevelType w:val="hybridMultilevel"/>
    <w:tmpl w:val="2EBE80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11D01"/>
    <w:multiLevelType w:val="multilevel"/>
    <w:tmpl w:val="AFA00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90A6E"/>
    <w:multiLevelType w:val="hybridMultilevel"/>
    <w:tmpl w:val="AD621F68"/>
    <w:lvl w:ilvl="0" w:tplc="79F89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03C0"/>
    <w:rsid w:val="000114C9"/>
    <w:rsid w:val="00033BB6"/>
    <w:rsid w:val="000803C0"/>
    <w:rsid w:val="00096037"/>
    <w:rsid w:val="000B040E"/>
    <w:rsid w:val="000B3F55"/>
    <w:rsid w:val="000B6CDD"/>
    <w:rsid w:val="00173EE6"/>
    <w:rsid w:val="001A5892"/>
    <w:rsid w:val="001A6284"/>
    <w:rsid w:val="001C293A"/>
    <w:rsid w:val="001C5FCB"/>
    <w:rsid w:val="001E5209"/>
    <w:rsid w:val="002710E9"/>
    <w:rsid w:val="002C0909"/>
    <w:rsid w:val="00342E2E"/>
    <w:rsid w:val="0044009B"/>
    <w:rsid w:val="004A04FF"/>
    <w:rsid w:val="004D1612"/>
    <w:rsid w:val="005549D3"/>
    <w:rsid w:val="00593098"/>
    <w:rsid w:val="006467B7"/>
    <w:rsid w:val="006C4CAA"/>
    <w:rsid w:val="006D5811"/>
    <w:rsid w:val="00796234"/>
    <w:rsid w:val="00823460"/>
    <w:rsid w:val="008602D3"/>
    <w:rsid w:val="008A5E3C"/>
    <w:rsid w:val="00924E17"/>
    <w:rsid w:val="00970C13"/>
    <w:rsid w:val="00973A98"/>
    <w:rsid w:val="00974969"/>
    <w:rsid w:val="0097545D"/>
    <w:rsid w:val="009B7D77"/>
    <w:rsid w:val="00A51B45"/>
    <w:rsid w:val="00A5557F"/>
    <w:rsid w:val="00AC6BDF"/>
    <w:rsid w:val="00AC7E1D"/>
    <w:rsid w:val="00AD55F0"/>
    <w:rsid w:val="00BC3502"/>
    <w:rsid w:val="00BD4284"/>
    <w:rsid w:val="00C13EA8"/>
    <w:rsid w:val="00C3764A"/>
    <w:rsid w:val="00D162C3"/>
    <w:rsid w:val="00D41A7D"/>
    <w:rsid w:val="00D77E61"/>
    <w:rsid w:val="00DF1CBB"/>
    <w:rsid w:val="00E063E0"/>
    <w:rsid w:val="00E2183F"/>
    <w:rsid w:val="00E96329"/>
    <w:rsid w:val="00EB036B"/>
    <w:rsid w:val="00EB5019"/>
    <w:rsid w:val="00EC67CB"/>
    <w:rsid w:val="00E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6F07"/>
  <w15:docId w15:val="{BEEEB202-F94C-4D1F-A578-6691ABE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6B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BD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AC6BD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</cp:lastModifiedBy>
  <cp:revision>68</cp:revision>
  <dcterms:created xsi:type="dcterms:W3CDTF">2018-08-06T12:36:00Z</dcterms:created>
  <dcterms:modified xsi:type="dcterms:W3CDTF">2018-09-28T10:12:00Z</dcterms:modified>
</cp:coreProperties>
</file>